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9486646"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5457EC">
        <w:rPr>
          <w:bCs/>
          <w:noProof w:val="0"/>
          <w:sz w:val="24"/>
          <w:szCs w:val="24"/>
        </w:rPr>
        <w:t>9</w:t>
      </w:r>
      <w:r w:rsidR="008E0C39">
        <w:rPr>
          <w:bCs/>
          <w:noProof w:val="0"/>
          <w:sz w:val="24"/>
          <w:szCs w:val="24"/>
        </w:rPr>
        <w:t>bis</w:t>
      </w:r>
      <w:r w:rsidRPr="00B266B0">
        <w:rPr>
          <w:bCs/>
          <w:noProof w:val="0"/>
          <w:sz w:val="24"/>
          <w:szCs w:val="24"/>
        </w:rPr>
        <w:tab/>
      </w:r>
      <w:r w:rsidR="00B50369">
        <w:rPr>
          <w:bCs/>
          <w:noProof w:val="0"/>
          <w:sz w:val="24"/>
          <w:szCs w:val="24"/>
        </w:rPr>
        <w:t>R2-2</w:t>
      </w:r>
      <w:r w:rsidR="00DD7F34">
        <w:rPr>
          <w:bCs/>
          <w:noProof w:val="0"/>
          <w:sz w:val="24"/>
          <w:szCs w:val="24"/>
        </w:rPr>
        <w:t>5</w:t>
      </w:r>
      <w:r w:rsidR="00D210A9">
        <w:rPr>
          <w:bCs/>
          <w:noProof w:val="0"/>
          <w:sz w:val="24"/>
          <w:szCs w:val="24"/>
        </w:rPr>
        <w:t>0</w:t>
      </w:r>
      <w:r w:rsidR="00F240C8">
        <w:rPr>
          <w:bCs/>
          <w:noProof w:val="0"/>
          <w:sz w:val="24"/>
          <w:szCs w:val="24"/>
        </w:rPr>
        <w:t>2688</w:t>
      </w:r>
    </w:p>
    <w:p w14:paraId="11776FA6" w14:textId="6AA55377" w:rsidR="00A209D6" w:rsidRPr="00465587" w:rsidRDefault="008E0C39" w:rsidP="00A209D6">
      <w:pPr>
        <w:pStyle w:val="Header"/>
        <w:tabs>
          <w:tab w:val="right" w:pos="9639"/>
        </w:tabs>
        <w:rPr>
          <w:bCs/>
          <w:sz w:val="24"/>
          <w:szCs w:val="24"/>
          <w:lang w:eastAsia="zh-CN"/>
        </w:rPr>
      </w:pPr>
      <w:r>
        <w:rPr>
          <w:bCs/>
          <w:sz w:val="24"/>
          <w:szCs w:val="24"/>
          <w:lang w:eastAsia="zh-CN"/>
        </w:rPr>
        <w:t>Wuhan, China</w:t>
      </w:r>
      <w:r w:rsidR="003C2C5D">
        <w:rPr>
          <w:bCs/>
          <w:sz w:val="24"/>
          <w:szCs w:val="24"/>
          <w:lang w:eastAsia="zh-CN"/>
        </w:rPr>
        <w:t xml:space="preserve">, </w:t>
      </w:r>
      <w:r w:rsidR="005457EC">
        <w:rPr>
          <w:bCs/>
          <w:sz w:val="24"/>
          <w:szCs w:val="24"/>
          <w:lang w:eastAsia="zh-CN"/>
        </w:rPr>
        <w:t>7</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Pr>
          <w:bCs/>
          <w:sz w:val="24"/>
          <w:szCs w:val="24"/>
          <w:lang w:eastAsia="zh-CN"/>
        </w:rPr>
        <w:t>1</w:t>
      </w:r>
      <w:r w:rsidR="005457EC">
        <w:rPr>
          <w:bCs/>
          <w:sz w:val="24"/>
          <w:szCs w:val="24"/>
          <w:lang w:eastAsia="zh-CN"/>
        </w:rPr>
        <w:t>1</w:t>
      </w:r>
      <w:r w:rsidRPr="008E0C39">
        <w:rPr>
          <w:bCs/>
          <w:sz w:val="24"/>
          <w:szCs w:val="24"/>
          <w:vertAlign w:val="superscript"/>
          <w:lang w:eastAsia="zh-CN"/>
        </w:rPr>
        <w:t>th</w:t>
      </w:r>
      <w:r w:rsidR="0037453E">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5457EC">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bookmarkStart w:id="0" w:name="_GoBack"/>
      <w:bookmarkEnd w:id="0"/>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232069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E0C39">
        <w:rPr>
          <w:rFonts w:eastAsia="SimSun"/>
          <w:b/>
          <w:bCs/>
          <w:sz w:val="24"/>
          <w:szCs w:val="20"/>
          <w:lang w:val="en-GB" w:eastAsia="en-US"/>
        </w:rPr>
        <w:t>Further d</w:t>
      </w:r>
      <w:r w:rsidR="004E2926">
        <w:rPr>
          <w:rFonts w:eastAsia="SimSun"/>
          <w:b/>
          <w:bCs/>
          <w:sz w:val="24"/>
          <w:szCs w:val="20"/>
          <w:lang w:val="en-GB" w:eastAsia="en-US"/>
        </w:rPr>
        <w:t>iscussion on</w:t>
      </w:r>
      <w:r w:rsidR="00490EA3">
        <w:rPr>
          <w:rFonts w:eastAsia="SimSun"/>
          <w:b/>
          <w:bCs/>
          <w:sz w:val="24"/>
          <w:szCs w:val="20"/>
          <w:lang w:val="en-GB" w:eastAsia="en-US"/>
        </w:rPr>
        <w:t xml:space="preserve"> Store and Forward</w:t>
      </w:r>
      <w:r w:rsidR="005C7C73">
        <w:rPr>
          <w:rFonts w:eastAsia="SimSun"/>
          <w:b/>
          <w:bCs/>
          <w:sz w:val="24"/>
          <w:szCs w:val="20"/>
          <w:lang w:val="en-GB" w:eastAsia="en-US"/>
        </w:rPr>
        <w:t xml:space="preserve"> operation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0E0455F6" w:rsidR="008E0C39" w:rsidRDefault="008E0C39" w:rsidP="008E0C39">
      <w:r>
        <w:t xml:space="preserve">In RAN#107 the latest WID for IoT NTN Phase 3 was agreed [1], where S&amp;F objective is the following: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49CCCB46" w14:textId="77777777" w:rsidR="00D90C26" w:rsidRDefault="00D90C26" w:rsidP="00EE10B8">
            <w:pPr>
              <w:spacing w:after="0"/>
              <w:rPr>
                <w:bCs/>
              </w:rPr>
            </w:pPr>
            <w:r>
              <w:rPr>
                <w:bCs/>
              </w:rPr>
              <w:t>The aim of this WI is enhancement of IoT-NTN with the following objectives:</w:t>
            </w:r>
          </w:p>
          <w:p w14:paraId="509F09D4" w14:textId="77777777" w:rsidR="00D90C26" w:rsidRDefault="00D90C26" w:rsidP="00EE10B8">
            <w:pPr>
              <w:spacing w:after="0"/>
              <w:rPr>
                <w:bCs/>
              </w:rPr>
            </w:pPr>
          </w:p>
          <w:p w14:paraId="0048FC36" w14:textId="77777777" w:rsidR="00D90C26" w:rsidRPr="0077358C" w:rsidRDefault="00D90C26" w:rsidP="00EE10B8">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with full eNB as regenerative payload, therefore:</w:t>
            </w:r>
          </w:p>
          <w:p w14:paraId="0B005034" w14:textId="77777777" w:rsidR="00D90C26" w:rsidRPr="00702D0A" w:rsidRDefault="00D90C26" w:rsidP="00EE10B8">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2611914B" w14:textId="77777777" w:rsidR="00D90C26" w:rsidRDefault="00D90C26" w:rsidP="00EE10B8">
            <w:pPr>
              <w:numPr>
                <w:ilvl w:val="1"/>
                <w:numId w:val="9"/>
              </w:numPr>
              <w:overflowPunct w:val="0"/>
              <w:autoSpaceDE w:val="0"/>
              <w:autoSpaceDN w:val="0"/>
              <w:adjustRightInd w:val="0"/>
              <w:spacing w:after="0"/>
              <w:textAlignment w:val="baseline"/>
              <w:rPr>
                <w:bCs/>
              </w:rPr>
            </w:pPr>
            <w:r>
              <w:rPr>
                <w:bCs/>
              </w:rPr>
              <w:t>S</w:t>
            </w:r>
            <w:r w:rsidRPr="00702D0A">
              <w:rPr>
                <w:bCs/>
              </w:rPr>
              <w:t xml:space="preserve">pecify necessary enhancements </w:t>
            </w:r>
            <w:r w:rsidRPr="00FE6A26">
              <w:rPr>
                <w:bCs/>
              </w:rPr>
              <w:t>for full eNB as regenerative payload</w:t>
            </w:r>
            <w:r>
              <w:rPr>
                <w:bCs/>
              </w:rPr>
              <w:t xml:space="preserve"> </w:t>
            </w:r>
            <w:r w:rsidRPr="00702D0A">
              <w:rPr>
                <w:bCs/>
              </w:rPr>
              <w:t>e.g. related to S1 protocol, especially to address the feeder link switch over as needed [RAN3]</w:t>
            </w:r>
          </w:p>
          <w:p w14:paraId="0AFFA728" w14:textId="77777777" w:rsidR="00D90C26" w:rsidRPr="00AF7BE6" w:rsidRDefault="00D90C26" w:rsidP="00EE10B8">
            <w:pPr>
              <w:overflowPunct w:val="0"/>
              <w:autoSpaceDE w:val="0"/>
              <w:autoSpaceDN w:val="0"/>
              <w:adjustRightInd w:val="0"/>
              <w:spacing w:after="0"/>
              <w:textAlignment w:val="baseline"/>
              <w:rPr>
                <w:bCs/>
              </w:rPr>
            </w:pPr>
          </w:p>
          <w:p w14:paraId="0CBC679D" w14:textId="77777777" w:rsidR="00D90C26" w:rsidRPr="00702D0A" w:rsidRDefault="00D90C26" w:rsidP="00EE10B8">
            <w:pPr>
              <w:spacing w:after="0"/>
              <w:ind w:left="720"/>
              <w:rPr>
                <w:bCs/>
              </w:rPr>
            </w:pPr>
            <w:r w:rsidRPr="00702D0A">
              <w:rPr>
                <w:bCs/>
              </w:rPr>
              <w:t>Note: Strive to minimise UE impact.</w:t>
            </w:r>
          </w:p>
          <w:p w14:paraId="32DFA51A" w14:textId="77777777" w:rsidR="00D90C26" w:rsidRPr="00D866DF" w:rsidRDefault="00D90C26" w:rsidP="00EE10B8">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48B71B6" w14:textId="03BD6F5A" w:rsidR="00D90C26" w:rsidRPr="0049280D" w:rsidRDefault="00D90C26" w:rsidP="00EE10B8">
            <w:pPr>
              <w:spacing w:after="0"/>
              <w:ind w:left="720"/>
              <w:rPr>
                <w:bCs/>
              </w:rPr>
            </w:pPr>
            <w:r w:rsidRPr="00AB68A3">
              <w:rPr>
                <w:bCs/>
              </w:rPr>
              <w:t xml:space="preserve"> </w:t>
            </w:r>
          </w:p>
        </w:tc>
      </w:tr>
    </w:tbl>
    <w:p w14:paraId="2F01C903" w14:textId="0A5BFFC2" w:rsidR="00C25AEA" w:rsidRDefault="00C25AEA" w:rsidP="00F00A10"/>
    <w:p w14:paraId="66CEE32F" w14:textId="12B33507" w:rsidR="00F00A10" w:rsidRPr="00F97E01" w:rsidRDefault="00C702D5" w:rsidP="00F00A10">
      <w:pPr>
        <w:rPr>
          <w:lang w:eastAsia="ko-KR"/>
        </w:rPr>
      </w:pPr>
      <w:r>
        <w:t xml:space="preserve">In this contribution, </w:t>
      </w:r>
      <w:r w:rsidR="007C5B71">
        <w:t xml:space="preserve">we provide some </w:t>
      </w:r>
      <w:r w:rsidR="00A60EB0">
        <w:t>discussions related</w:t>
      </w:r>
      <w:r w:rsidR="0051202F">
        <w:t xml:space="preserve"> Store and Forward.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A9817D2" w14:textId="6AF5FAFF" w:rsidR="003E45E3" w:rsidRDefault="00324864" w:rsidP="00AF4DB9">
      <w:pPr>
        <w:pStyle w:val="PatentBody"/>
        <w:numPr>
          <w:ilvl w:val="0"/>
          <w:numId w:val="0"/>
        </w:numPr>
        <w:spacing w:after="180" w:line="240" w:lineRule="auto"/>
        <w:jc w:val="both"/>
        <w:rPr>
          <w:sz w:val="20"/>
        </w:rPr>
      </w:pPr>
      <w:r>
        <w:rPr>
          <w:sz w:val="20"/>
        </w:rPr>
        <w:t>In the last meeting (RAN2#12</w:t>
      </w:r>
      <w:r w:rsidR="00A11492">
        <w:rPr>
          <w:sz w:val="20"/>
        </w:rPr>
        <w:t>9</w:t>
      </w:r>
      <w:r>
        <w:rPr>
          <w:sz w:val="20"/>
        </w:rPr>
        <w:t>), the following was agreed:</w:t>
      </w:r>
    </w:p>
    <w:p w14:paraId="4D66B5D5" w14:textId="77777777" w:rsidR="00A11492" w:rsidRDefault="00A11492" w:rsidP="00A11492">
      <w:pPr>
        <w:pStyle w:val="Doc-text2"/>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785A87CA" w14:textId="77777777" w:rsidR="00A11492" w:rsidRPr="00A81638" w:rsidRDefault="00A11492" w:rsidP="00A11492">
      <w:pPr>
        <w:pStyle w:val="Doc-text2"/>
        <w:numPr>
          <w:ilvl w:val="0"/>
          <w:numId w:val="12"/>
        </w:numPr>
        <w:pBdr>
          <w:top w:val="single" w:sz="4" w:space="1" w:color="auto"/>
          <w:left w:val="single" w:sz="4" w:space="4" w:color="auto"/>
          <w:bottom w:val="single" w:sz="4" w:space="1" w:color="auto"/>
          <w:right w:val="single" w:sz="4" w:space="4" w:color="auto"/>
        </w:pBdr>
        <w:rPr>
          <w:lang w:eastAsia="ko-KR"/>
        </w:rPr>
      </w:pPr>
      <w:r w:rsidRPr="00A81638">
        <w:rPr>
          <w:lang w:eastAsia="ko-KR"/>
        </w:rPr>
        <w:t>RAN2 currently assumes that a S&amp;F mode changes does not necessarily imply a MME change</w:t>
      </w:r>
    </w:p>
    <w:p w14:paraId="4418414D" w14:textId="77777777" w:rsidR="00A11492" w:rsidRDefault="00A11492" w:rsidP="00A11492">
      <w:pPr>
        <w:pStyle w:val="Doc-text2"/>
        <w:numPr>
          <w:ilvl w:val="0"/>
          <w:numId w:val="12"/>
        </w:numPr>
        <w:pBdr>
          <w:top w:val="single" w:sz="4" w:space="1" w:color="auto"/>
          <w:left w:val="single" w:sz="4" w:space="4" w:color="auto"/>
          <w:bottom w:val="single" w:sz="4" w:space="1" w:color="auto"/>
          <w:right w:val="single" w:sz="4" w:space="4" w:color="auto"/>
        </w:pBdr>
        <w:rPr>
          <w:lang w:eastAsia="ko-KR"/>
        </w:rPr>
      </w:pPr>
      <w:r w:rsidRPr="00A81638">
        <w:rPr>
          <w:lang w:eastAsia="ko-KR"/>
        </w:rPr>
        <w:t>The already agreed time information on transition from S&amp;F operation mode to normal mode is provided in SIB31 (can work on signalling optimizations in case the new time information and T-service would carry the same information)</w:t>
      </w:r>
    </w:p>
    <w:p w14:paraId="718DF69E" w14:textId="77777777" w:rsidR="00A11492" w:rsidRDefault="00A11492" w:rsidP="00A11492">
      <w:pPr>
        <w:pStyle w:val="Doc-text2"/>
        <w:numPr>
          <w:ilvl w:val="0"/>
          <w:numId w:val="12"/>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6E3B0ED2" w14:textId="77777777" w:rsidR="00A11492" w:rsidRDefault="00A11492" w:rsidP="00A11492">
      <w:pPr>
        <w:pStyle w:val="Doc-text2"/>
        <w:numPr>
          <w:ilvl w:val="0"/>
          <w:numId w:val="12"/>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14:paraId="4AC0CF59" w14:textId="6AB47F34" w:rsidR="004317FB" w:rsidRDefault="004317FB" w:rsidP="00AF4DB9">
      <w:pPr>
        <w:pStyle w:val="PatentBody"/>
        <w:numPr>
          <w:ilvl w:val="0"/>
          <w:numId w:val="0"/>
        </w:numPr>
        <w:spacing w:after="180" w:line="240" w:lineRule="auto"/>
        <w:jc w:val="both"/>
        <w:rPr>
          <w:sz w:val="20"/>
        </w:rPr>
      </w:pPr>
    </w:p>
    <w:p w14:paraId="6BEFEE1B" w14:textId="3C14F76F" w:rsidR="00A11492" w:rsidRDefault="00A11492" w:rsidP="00A11492">
      <w:pPr>
        <w:pStyle w:val="Heading2"/>
      </w:pPr>
      <w:r>
        <w:t>On satellite ID</w:t>
      </w:r>
      <w:r w:rsidR="005D37FD">
        <w:t>s for S&amp;F</w:t>
      </w:r>
    </w:p>
    <w:p w14:paraId="1CC0C557" w14:textId="7BB40D61" w:rsidR="00A11492" w:rsidRDefault="00A11492" w:rsidP="00A11492">
      <w:pPr>
        <w:rPr>
          <w:lang w:val="en-GB" w:eastAsia="en-US"/>
        </w:rPr>
      </w:pPr>
      <w:r>
        <w:rPr>
          <w:lang w:val="en-GB" w:eastAsia="en-US"/>
        </w:rPr>
        <w:t xml:space="preserve">RAN2 has in this meeting received a reply LS to the LS sent in RAN2#128 </w:t>
      </w:r>
      <w:r w:rsidR="00045C87">
        <w:rPr>
          <w:lang w:val="en-GB" w:eastAsia="en-US"/>
        </w:rPr>
        <w:t>[2]</w:t>
      </w:r>
      <w:r>
        <w:rPr>
          <w:lang w:val="en-GB" w:eastAsia="en-US"/>
        </w:rPr>
        <w:t xml:space="preserve"> on Satellite IDs for Store-and-Forward operation. </w:t>
      </w:r>
    </w:p>
    <w:p w14:paraId="273013E1" w14:textId="005FB333" w:rsidR="00A11492" w:rsidRPr="009365C9" w:rsidRDefault="00A11492" w:rsidP="00A11492">
      <w:pPr>
        <w:rPr>
          <w:u w:val="single"/>
          <w:lang w:val="en-GB" w:eastAsia="en-US"/>
        </w:rPr>
      </w:pPr>
      <w:r w:rsidRPr="009365C9">
        <w:rPr>
          <w:u w:val="single"/>
          <w:lang w:val="en-GB" w:eastAsia="en-US"/>
        </w:rPr>
        <w:t>RAN2</w:t>
      </w:r>
      <w:r w:rsidR="00DE4A70" w:rsidRPr="009365C9">
        <w:rPr>
          <w:u w:val="single"/>
          <w:lang w:val="en-GB" w:eastAsia="en-US"/>
        </w:rPr>
        <w:t xml:space="preserve"> first</w:t>
      </w:r>
      <w:r w:rsidRPr="009365C9">
        <w:rPr>
          <w:u w:val="single"/>
          <w:lang w:val="en-GB" w:eastAsia="en-US"/>
        </w:rPr>
        <w:t xml:space="preserve"> asked the following: </w:t>
      </w:r>
    </w:p>
    <w:p w14:paraId="61CABB23" w14:textId="77777777" w:rsidR="00A11492" w:rsidRPr="0057216B" w:rsidRDefault="00A11492" w:rsidP="00A11492">
      <w:pPr>
        <w:widowControl w:val="0"/>
        <w:numPr>
          <w:ilvl w:val="0"/>
          <w:numId w:val="13"/>
        </w:numPr>
        <w:autoSpaceDN w:val="0"/>
        <w:rPr>
          <w:rFonts w:eastAsia="DengXian"/>
          <w:i/>
          <w:kern w:val="2"/>
          <w:lang w:eastAsia="zh-CN"/>
          <w14:ligatures w14:val="standardContextual"/>
        </w:rPr>
      </w:pPr>
      <w:r w:rsidRPr="0057216B">
        <w:rPr>
          <w:rFonts w:eastAsia="DengXian"/>
          <w:i/>
          <w:kern w:val="2"/>
          <w:u w:val="single"/>
          <w:lang w:eastAsia="zh-CN"/>
          <w14:ligatures w14:val="standardContextual"/>
        </w:rPr>
        <w:lastRenderedPageBreak/>
        <w:t>RAN2 understanding</w:t>
      </w:r>
      <w:r w:rsidRPr="0057216B">
        <w:rPr>
          <w:rFonts w:eastAsia="DengXian"/>
          <w:i/>
          <w:kern w:val="2"/>
          <w:lang w:eastAsia="zh-CN"/>
          <w14:ligatures w14:val="standardContextual"/>
        </w:rPr>
        <w:t>: The UE configured with a satellite ID list by MME is not prevented to camp on, attempt to access to and communicate with a satellite which is not included in the MME-configured satellite list.</w:t>
      </w:r>
    </w:p>
    <w:p w14:paraId="57329894" w14:textId="0914DC9A" w:rsidR="00A11492" w:rsidRDefault="00E9461B" w:rsidP="00A11492">
      <w:pPr>
        <w:rPr>
          <w:lang w:val="en-GB" w:eastAsia="en-US"/>
        </w:rPr>
      </w:pPr>
      <w:r>
        <w:rPr>
          <w:lang w:val="en-GB" w:eastAsia="en-US"/>
        </w:rPr>
        <w:t>In the SA2 response in [</w:t>
      </w:r>
      <w:r w:rsidR="009365C9">
        <w:rPr>
          <w:lang w:val="en-GB" w:eastAsia="en-US"/>
        </w:rPr>
        <w:t>3</w:t>
      </w:r>
      <w:r>
        <w:rPr>
          <w:lang w:val="en-GB" w:eastAsia="en-US"/>
        </w:rPr>
        <w:t>], SA2</w:t>
      </w:r>
      <w:r w:rsidR="00A11492">
        <w:rPr>
          <w:lang w:val="en-GB" w:eastAsia="en-US"/>
        </w:rPr>
        <w:t xml:space="preserve"> pointed towards clause 4.13.9 in 23.401. The relevant parts are as follows: </w:t>
      </w:r>
    </w:p>
    <w:p w14:paraId="04E9A2A6" w14:textId="4821CE5F" w:rsidR="00A11492" w:rsidRDefault="00A11492" w:rsidP="00A11492">
      <w:pPr>
        <w:jc w:val="center"/>
        <w:rPr>
          <w:lang w:val="en-GB" w:eastAsia="en-US"/>
        </w:rPr>
      </w:pPr>
      <w:r>
        <w:rPr>
          <w:lang w:val="en-GB" w:eastAsia="en-US"/>
        </w:rPr>
        <w:t>--------------------------- 23.401 V19.2.0 ---------------------------</w:t>
      </w:r>
    </w:p>
    <w:p w14:paraId="0063A073" w14:textId="77777777" w:rsidR="005D37FD" w:rsidRPr="005D37FD" w:rsidRDefault="005D37FD" w:rsidP="005D37FD">
      <w:pPr>
        <w:overflowPunct w:val="0"/>
        <w:autoSpaceDE w:val="0"/>
        <w:autoSpaceDN w:val="0"/>
        <w:adjustRightInd w:val="0"/>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For a UE which indicates support of Store and Forward Satellite operation and when an MME is operating in S&amp;F Mode:</w:t>
      </w:r>
    </w:p>
    <w:p w14:paraId="090EFDE0"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F2E204B"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If the UE is rejected with a reject cause indicating it is due to S&amp;F operation, the UE's EMM state shall remain unchanged.</w:t>
      </w:r>
    </w:p>
    <w:p w14:paraId="47999BA7"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The MME may provide to the UE a S&amp;F Wait Timer, a S&amp;F Monitoring List or both when accepting or rejecting a NAS procedure.</w:t>
      </w:r>
    </w:p>
    <w:p w14:paraId="6AF52C05"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4:</w:t>
      </w:r>
      <w:r w:rsidRPr="005D37FD">
        <w:rPr>
          <w:rFonts w:ascii="Times New Roman" w:eastAsia="Times New Roman" w:hAnsi="Times New Roman" w:cs="Times New Roman"/>
          <w:szCs w:val="20"/>
          <w:lang w:val="en-GB"/>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AA6B5F3"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When the S&amp;F Wait Timer expires, the UE may perform a NAS procedure, which can be a subsequent NAS procedure or a reattempt of a NAS procedure previously rejected with a S&amp;F reject cause.</w:t>
      </w:r>
    </w:p>
    <w:p w14:paraId="489F081D"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5:</w:t>
      </w:r>
      <w:r w:rsidRPr="005D37FD">
        <w:rPr>
          <w:rFonts w:ascii="Times New Roman" w:eastAsia="Times New Roman" w:hAnsi="Times New Roman" w:cs="Times New Roman"/>
          <w:szCs w:val="20"/>
          <w:lang w:val="en-GB"/>
        </w:rPr>
        <w:tab/>
        <w:t>When the S&amp;F Wait Timer is running, the power consumption optimization behaviours, if any, are left for UE implementation e.g. whether to listen to paging or deactivate its Access Stratum functions.</w:t>
      </w:r>
    </w:p>
    <w:p w14:paraId="18071C66"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ab/>
        <w:t>The S&amp;F Monitoring List includes satellite(s) which belong to the same PLMN and indicates the satellite(s) that the UE may (re)attempt NAS procedures or receive MT data from.</w:t>
      </w:r>
    </w:p>
    <w:p w14:paraId="63D9430E"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The MME may indicate to the UE that it should delete any previously provided S&amp;F Monitoring List for the current PLMN. When the S&amp;F Monitoring List is deleted then the UE may use any satellite(s).</w:t>
      </w:r>
    </w:p>
    <w:p w14:paraId="20EE4D4D"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6:</w:t>
      </w:r>
      <w:r w:rsidRPr="005D37FD">
        <w:rPr>
          <w:rFonts w:ascii="Times New Roman" w:eastAsia="Times New Roman" w:hAnsi="Times New Roman" w:cs="Times New Roman"/>
          <w:szCs w:val="20"/>
          <w:lang w:val="en-GB"/>
        </w:rPr>
        <w:tab/>
        <w:t>The S&amp;F Wait Timer or S&amp;F Monitoring List doesn't affect the UE when accessing an eNodeB that does not broadcast an indication of operating in S&amp;F Mode.</w:t>
      </w:r>
    </w:p>
    <w:p w14:paraId="711834F2"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7:</w:t>
      </w:r>
      <w:r w:rsidRPr="005D37FD">
        <w:rPr>
          <w:rFonts w:ascii="Times New Roman" w:eastAsia="Times New Roman" w:hAnsi="Times New Roman" w:cs="Times New Roman"/>
          <w:szCs w:val="20"/>
          <w:lang w:val="en-GB"/>
        </w:rP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4356EE81" w14:textId="77777777" w:rsidR="005D37FD" w:rsidRDefault="005D37FD" w:rsidP="005D37FD">
      <w:pPr>
        <w:jc w:val="center"/>
        <w:rPr>
          <w:lang w:val="en-GB" w:eastAsia="en-US"/>
        </w:rPr>
      </w:pPr>
      <w:r>
        <w:rPr>
          <w:lang w:val="en-GB" w:eastAsia="en-US"/>
        </w:rPr>
        <w:t>--------------------------- 23.401 V19.2.0 ---------------------------</w:t>
      </w:r>
    </w:p>
    <w:p w14:paraId="2980E3E8" w14:textId="17A2323C" w:rsidR="00A11492" w:rsidRDefault="00E9461B" w:rsidP="00AF4DB9">
      <w:pPr>
        <w:pStyle w:val="PatentBody"/>
        <w:numPr>
          <w:ilvl w:val="0"/>
          <w:numId w:val="0"/>
        </w:numPr>
        <w:spacing w:after="180" w:line="240" w:lineRule="auto"/>
        <w:jc w:val="both"/>
        <w:rPr>
          <w:sz w:val="20"/>
        </w:rPr>
      </w:pPr>
      <w:r>
        <w:rPr>
          <w:sz w:val="20"/>
        </w:rPr>
        <w:t xml:space="preserve">In other words, the UE is not prevented from performing any type of action. Instead the UE can use the list in order to find satellites where it can perform NAS procedures and expect MT data. From the point of view of AS, the important parts of how a UE operates can be found in the Notes 5 and 7. Both Note 5 and 7 state that it is mostly up to UE implementation how to </w:t>
      </w:r>
      <w:r w:rsidR="00BD6861">
        <w:rPr>
          <w:sz w:val="20"/>
        </w:rPr>
        <w:t xml:space="preserve">operate when receiving the S&amp;F Wait timer and S&amp;F Monitoring List. Thus we think that the AS layer has to somewhat mimic this behaviour in order to stay consistent. </w:t>
      </w:r>
    </w:p>
    <w:p w14:paraId="446DE0AB" w14:textId="3B976EFC" w:rsidR="00BD6861" w:rsidRDefault="00BD6861" w:rsidP="00AF4DB9">
      <w:pPr>
        <w:pStyle w:val="PatentBody"/>
        <w:numPr>
          <w:ilvl w:val="0"/>
          <w:numId w:val="0"/>
        </w:numPr>
        <w:spacing w:after="180" w:line="240" w:lineRule="auto"/>
        <w:jc w:val="both"/>
        <w:rPr>
          <w:sz w:val="20"/>
        </w:rPr>
      </w:pPr>
      <w:r>
        <w:rPr>
          <w:sz w:val="20"/>
        </w:rPr>
        <w:t xml:space="preserve">In the AS layer, there is already similar behaviour: discontinuous coverage. In discontinuous coverage, the UE is provided with a set of </w:t>
      </w:r>
      <w:r w:rsidR="009966F2">
        <w:rPr>
          <w:sz w:val="20"/>
        </w:rPr>
        <w:t>TLE</w:t>
      </w:r>
      <w:r>
        <w:rPr>
          <w:sz w:val="20"/>
        </w:rPr>
        <w:t xml:space="preserve"> Ephemeris elements and other assistance information that describe how a satellite and its cells move. This is then used by the UE to determine when to wake up in order to </w:t>
      </w:r>
      <w:r w:rsidR="006E7F92">
        <w:rPr>
          <w:sz w:val="20"/>
        </w:rPr>
        <w:t xml:space="preserve">camp or to perform MO or MT access. When the UE has determined that there is no coverage, the UE may not perform the AS procedures related to NTN. </w:t>
      </w:r>
    </w:p>
    <w:p w14:paraId="352ACF6C" w14:textId="2A17E13A" w:rsidR="006E7F92" w:rsidRDefault="006E7F92" w:rsidP="00AF4DB9">
      <w:pPr>
        <w:pStyle w:val="PatentBody"/>
        <w:numPr>
          <w:ilvl w:val="0"/>
          <w:numId w:val="0"/>
        </w:numPr>
        <w:spacing w:after="180" w:line="240" w:lineRule="auto"/>
        <w:jc w:val="both"/>
        <w:rPr>
          <w:sz w:val="20"/>
        </w:rPr>
      </w:pPr>
      <w:r>
        <w:rPr>
          <w:sz w:val="20"/>
        </w:rPr>
        <w:t>Thus we believe that the S&amp;F Monitoring List signalled over NAS shall be used by the AS layer to determine when to wake up for NAS and MT ac</w:t>
      </w:r>
      <w:r w:rsidR="00A929C6">
        <w:rPr>
          <w:sz w:val="20"/>
        </w:rPr>
        <w:t xml:space="preserve">cess, i.e for the UE to perform discontinuous coverage. As an example, the MME may provide an S&amp;F Monitoring List indicating satellite IDs 3, 4, 7, 10. In the current cell that the UE is connected to, the </w:t>
      </w:r>
      <w:r w:rsidR="00DC5012">
        <w:rPr>
          <w:sz w:val="20"/>
        </w:rPr>
        <w:t>cell may broadcast SIB32 where</w:t>
      </w:r>
      <w:r w:rsidR="008E3BC2">
        <w:rPr>
          <w:sz w:val="20"/>
        </w:rPr>
        <w:t xml:space="preserve"> the</w:t>
      </w:r>
      <w:r w:rsidR="00DC5012">
        <w:rPr>
          <w:sz w:val="20"/>
        </w:rPr>
        <w:t xml:space="preserve"> satellite IDs </w:t>
      </w:r>
      <w:r w:rsidR="008E3BC2">
        <w:rPr>
          <w:sz w:val="20"/>
        </w:rPr>
        <w:t xml:space="preserve">1, 3, 4 and 6 </w:t>
      </w:r>
      <w:r w:rsidR="00DC5012">
        <w:rPr>
          <w:sz w:val="20"/>
        </w:rPr>
        <w:t xml:space="preserve">are indicated. </w:t>
      </w:r>
      <w:r w:rsidR="008E3BC2">
        <w:rPr>
          <w:sz w:val="20"/>
        </w:rPr>
        <w:t>Then the UE may perform discontinuous coverage to wake up to camp on satellit</w:t>
      </w:r>
      <w:r w:rsidR="00DD7951">
        <w:rPr>
          <w:sz w:val="20"/>
        </w:rPr>
        <w:t>e with satellite ID</w:t>
      </w:r>
      <w:r w:rsidR="008E3BC2">
        <w:rPr>
          <w:sz w:val="20"/>
        </w:rPr>
        <w:t xml:space="preserve"> 3 and 4, but m</w:t>
      </w:r>
      <w:r w:rsidR="00BF3D47">
        <w:rPr>
          <w:sz w:val="20"/>
        </w:rPr>
        <w:t>ay also wake up for</w:t>
      </w:r>
      <w:r w:rsidR="00DD7951">
        <w:rPr>
          <w:sz w:val="20"/>
        </w:rPr>
        <w:t xml:space="preserve"> satellite with</w:t>
      </w:r>
      <w:r w:rsidR="008E3BC2">
        <w:rPr>
          <w:sz w:val="20"/>
        </w:rPr>
        <w:t xml:space="preserve"> satellite ID 1 and </w:t>
      </w:r>
      <w:r w:rsidR="00BF3D47">
        <w:rPr>
          <w:sz w:val="20"/>
        </w:rPr>
        <w:t>6</w:t>
      </w:r>
      <w:r w:rsidR="00DD7951">
        <w:rPr>
          <w:sz w:val="20"/>
        </w:rPr>
        <w:t>, for instance to receive Long Term Ephemeris for more satellites</w:t>
      </w:r>
      <w:r w:rsidR="00BF3D47">
        <w:rPr>
          <w:sz w:val="20"/>
        </w:rPr>
        <w:t>.</w:t>
      </w:r>
      <w:r w:rsidR="00DD7951">
        <w:rPr>
          <w:sz w:val="20"/>
        </w:rPr>
        <w:t xml:space="preserve"> </w:t>
      </w:r>
      <w:r w:rsidR="00D14D50">
        <w:rPr>
          <w:sz w:val="20"/>
        </w:rPr>
        <w:t xml:space="preserve">An example of this can be seen in Figure 1. </w:t>
      </w:r>
      <w:r w:rsidR="00522E2E">
        <w:rPr>
          <w:sz w:val="20"/>
        </w:rPr>
        <w:t xml:space="preserve">In line with this, we propose: </w:t>
      </w:r>
    </w:p>
    <w:p w14:paraId="27C00140" w14:textId="5BD96039" w:rsidR="00522E2E" w:rsidRDefault="00522E2E" w:rsidP="00522E2E">
      <w:pPr>
        <w:spacing w:after="120"/>
        <w:rPr>
          <w:b/>
        </w:rPr>
      </w:pPr>
      <w:r>
        <w:rPr>
          <w:b/>
        </w:rPr>
        <w:t xml:space="preserve">Proposal 1: In accordance with SA2 23.401, clause 4.13.9, the monitoring list is used in AS for UE to perform discontinuous coverage operation on the satellites indicated in the monitoring list.  </w:t>
      </w:r>
    </w:p>
    <w:p w14:paraId="2D3607FF" w14:textId="7128407D" w:rsidR="00522E2E" w:rsidRDefault="00522E2E" w:rsidP="00AF4DB9">
      <w:pPr>
        <w:pStyle w:val="PatentBody"/>
        <w:numPr>
          <w:ilvl w:val="0"/>
          <w:numId w:val="0"/>
        </w:numPr>
        <w:spacing w:after="180" w:line="240" w:lineRule="auto"/>
        <w:jc w:val="both"/>
        <w:rPr>
          <w:sz w:val="20"/>
        </w:rPr>
      </w:pPr>
    </w:p>
    <w:p w14:paraId="29B23F03" w14:textId="77777777" w:rsidR="00D14D50" w:rsidRDefault="00F240C8" w:rsidP="00D14D50">
      <w:pPr>
        <w:pStyle w:val="PatentBody"/>
        <w:keepNext/>
        <w:numPr>
          <w:ilvl w:val="0"/>
          <w:numId w:val="0"/>
        </w:numPr>
        <w:spacing w:after="180" w:line="240" w:lineRule="auto"/>
        <w:jc w:val="both"/>
      </w:pPr>
      <w:r>
        <w:rPr>
          <w:sz w:val="20"/>
        </w:rPr>
        <w:pict w14:anchorId="68FD4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75pt">
            <v:imagedata r:id="rId8" o:title="Figure 2"/>
          </v:shape>
        </w:pict>
      </w:r>
    </w:p>
    <w:p w14:paraId="303EF41F" w14:textId="752199A1" w:rsidR="00D14D50" w:rsidRPr="00D14D50" w:rsidRDefault="00D14D50" w:rsidP="00D14D50">
      <w:pPr>
        <w:pStyle w:val="Caption"/>
        <w:jc w:val="center"/>
        <w:rPr>
          <w:i w:val="0"/>
          <w:sz w:val="20"/>
        </w:rPr>
      </w:pPr>
      <w:r w:rsidRPr="00D14D50">
        <w:rPr>
          <w:i w:val="0"/>
        </w:rPr>
        <w:t xml:space="preserve">Figure </w:t>
      </w:r>
      <w:r w:rsidRPr="00D14D50">
        <w:rPr>
          <w:i w:val="0"/>
        </w:rPr>
        <w:fldChar w:fldCharType="begin"/>
      </w:r>
      <w:r w:rsidRPr="00D14D50">
        <w:rPr>
          <w:i w:val="0"/>
        </w:rPr>
        <w:instrText xml:space="preserve"> SEQ Figure \* ARABIC </w:instrText>
      </w:r>
      <w:r w:rsidRPr="00D14D50">
        <w:rPr>
          <w:i w:val="0"/>
        </w:rPr>
        <w:fldChar w:fldCharType="separate"/>
      </w:r>
      <w:r w:rsidRPr="00D14D50">
        <w:rPr>
          <w:i w:val="0"/>
          <w:noProof/>
        </w:rPr>
        <w:t>1</w:t>
      </w:r>
      <w:r w:rsidRPr="00D14D50">
        <w:rPr>
          <w:i w:val="0"/>
        </w:rPr>
        <w:fldChar w:fldCharType="end"/>
      </w:r>
      <w:r w:rsidRPr="00D14D50">
        <w:rPr>
          <w:i w:val="0"/>
        </w:rPr>
        <w:t>.</w:t>
      </w:r>
      <w:r>
        <w:rPr>
          <w:i w:val="0"/>
        </w:rPr>
        <w:t xml:space="preserve"> Using the S&amp;F Monitoring list with discontinuous coverage. </w:t>
      </w:r>
    </w:p>
    <w:p w14:paraId="48F3CEBD" w14:textId="688FCC81" w:rsidR="00E9461B" w:rsidRPr="009365C9" w:rsidRDefault="00DE4A70" w:rsidP="00AF4DB9">
      <w:pPr>
        <w:pStyle w:val="PatentBody"/>
        <w:numPr>
          <w:ilvl w:val="0"/>
          <w:numId w:val="0"/>
        </w:numPr>
        <w:spacing w:after="180" w:line="240" w:lineRule="auto"/>
        <w:jc w:val="both"/>
        <w:rPr>
          <w:sz w:val="20"/>
          <w:u w:val="single"/>
        </w:rPr>
      </w:pPr>
      <w:r w:rsidRPr="009365C9">
        <w:rPr>
          <w:sz w:val="20"/>
          <w:u w:val="single"/>
        </w:rPr>
        <w:t xml:space="preserve">For the second question: </w:t>
      </w:r>
    </w:p>
    <w:p w14:paraId="4C5FA7D5" w14:textId="77777777" w:rsidR="00DE4A70" w:rsidRPr="0057216B" w:rsidRDefault="00DE4A70" w:rsidP="00DE4A70">
      <w:pPr>
        <w:widowControl w:val="0"/>
        <w:spacing w:after="120"/>
        <w:rPr>
          <w:rFonts w:eastAsia="DengXian"/>
          <w:i/>
          <w:kern w:val="2"/>
          <w:lang w:eastAsia="zh-CN"/>
          <w14:ligatures w14:val="standardContextual"/>
        </w:rPr>
      </w:pPr>
      <w:r w:rsidRPr="0057216B">
        <w:rPr>
          <w:rFonts w:eastAsia="DengXian"/>
          <w:i/>
          <w:kern w:val="2"/>
          <w:u w:val="single"/>
          <w:lang w:eastAsia="zh-CN"/>
          <w14:ligatures w14:val="standardContextual"/>
        </w:rPr>
        <w:t>Question</w:t>
      </w:r>
      <w:r w:rsidRPr="0057216B">
        <w:rPr>
          <w:rFonts w:eastAsia="DengXian"/>
          <w:i/>
          <w:kern w:val="2"/>
          <w:lang w:eastAsia="zh-CN"/>
          <w14:ligatures w14:val="standardContextual"/>
        </w:rPr>
        <w:t>: If a satellite is included in the satellite list signalled by the MME to a UE, does it mean one of the below options, or possibly other option(s):</w:t>
      </w:r>
    </w:p>
    <w:p w14:paraId="0CB685E0" w14:textId="77777777" w:rsidR="00DE4A70" w:rsidRPr="0057216B" w:rsidRDefault="00DE4A70" w:rsidP="00DE4A70">
      <w:pPr>
        <w:widowControl w:val="0"/>
        <w:numPr>
          <w:ilvl w:val="0"/>
          <w:numId w:val="14"/>
        </w:numPr>
        <w:autoSpaceDN w:val="0"/>
        <w:spacing w:after="120"/>
        <w:rPr>
          <w:rFonts w:eastAsia="DengXian"/>
          <w:i/>
          <w:kern w:val="2"/>
          <w:lang w:eastAsia="zh-CN"/>
          <w14:ligatures w14:val="standardContextual"/>
        </w:rPr>
      </w:pPr>
      <w:r w:rsidRPr="0057216B">
        <w:rPr>
          <w:rFonts w:eastAsia="DengXian"/>
          <w:i/>
          <w:kern w:val="2"/>
          <w:lang w:eastAsia="zh-CN"/>
          <w14:ligatures w14:val="standardContextual"/>
        </w:rPr>
        <w:t xml:space="preserve">the satellite has the UE context but does not necessarily </w:t>
      </w:r>
      <w:bookmarkStart w:id="2" w:name="_Hlk183607613"/>
      <w:r w:rsidRPr="0057216B">
        <w:rPr>
          <w:rFonts w:eastAsia="DengXian"/>
          <w:i/>
          <w:kern w:val="2"/>
          <w:lang w:eastAsia="zh-CN"/>
          <w14:ligatures w14:val="standardContextual"/>
        </w:rPr>
        <w:t>support store-and-forward operation</w:t>
      </w:r>
      <w:bookmarkEnd w:id="2"/>
      <w:r w:rsidRPr="0057216B">
        <w:rPr>
          <w:rFonts w:eastAsia="DengXian"/>
          <w:i/>
          <w:kern w:val="2"/>
          <w:lang w:eastAsia="zh-CN"/>
          <w14:ligatures w14:val="standardContextual"/>
        </w:rPr>
        <w:t>; or</w:t>
      </w:r>
    </w:p>
    <w:p w14:paraId="513AA0A4" w14:textId="77777777" w:rsidR="00DE4A70" w:rsidRPr="0057216B" w:rsidRDefault="00DE4A70" w:rsidP="00DE4A70">
      <w:pPr>
        <w:widowControl w:val="0"/>
        <w:numPr>
          <w:ilvl w:val="0"/>
          <w:numId w:val="14"/>
        </w:numPr>
        <w:autoSpaceDN w:val="0"/>
        <w:rPr>
          <w:rFonts w:eastAsia="DengXian"/>
          <w:i/>
          <w:kern w:val="2"/>
          <w:lang w:eastAsia="zh-CN"/>
          <w14:ligatures w14:val="standardContextual"/>
        </w:rPr>
      </w:pPr>
      <w:r w:rsidRPr="0057216B">
        <w:rPr>
          <w:rFonts w:eastAsia="DengXian"/>
          <w:i/>
          <w:kern w:val="2"/>
          <w:lang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256F497" w14:textId="353235EA" w:rsidR="00A11492" w:rsidRDefault="00DE4A70" w:rsidP="00AF4DB9">
      <w:pPr>
        <w:pStyle w:val="PatentBody"/>
        <w:numPr>
          <w:ilvl w:val="0"/>
          <w:numId w:val="0"/>
        </w:numPr>
        <w:spacing w:after="180" w:line="240" w:lineRule="auto"/>
        <w:jc w:val="both"/>
        <w:rPr>
          <w:sz w:val="20"/>
        </w:rPr>
      </w:pPr>
      <w:r>
        <w:rPr>
          <w:sz w:val="20"/>
        </w:rPr>
        <w:t xml:space="preserve">For this, SA2 indicated the second option. We believe that for the second question, this may not potentially have any impact on RAN2. </w:t>
      </w:r>
    </w:p>
    <w:p w14:paraId="539D69E1" w14:textId="61DFE190" w:rsidR="004317FB" w:rsidRDefault="004317FB" w:rsidP="004317FB">
      <w:pPr>
        <w:pStyle w:val="Heading2"/>
      </w:pPr>
      <w:r>
        <w:t>Timing information on S&amp;F</w:t>
      </w:r>
    </w:p>
    <w:p w14:paraId="2FB6A65A" w14:textId="3823D883" w:rsidR="002C78AF" w:rsidRDefault="000930CA" w:rsidP="00AF4DB9">
      <w:pPr>
        <w:pStyle w:val="PatentBody"/>
        <w:numPr>
          <w:ilvl w:val="0"/>
          <w:numId w:val="0"/>
        </w:numPr>
        <w:spacing w:after="180" w:line="240" w:lineRule="auto"/>
        <w:jc w:val="both"/>
        <w:rPr>
          <w:sz w:val="20"/>
        </w:rPr>
      </w:pPr>
      <w:r>
        <w:rPr>
          <w:sz w:val="20"/>
        </w:rPr>
        <w:t>In the last meeting it was agreed to introduce a broadcasted indication of when the current satellite operation mode will transit from “S&amp;F operation” to normal mode. There were several FFSes lef</w:t>
      </w:r>
      <w:r w:rsidR="002C78AF">
        <w:rPr>
          <w:sz w:val="20"/>
        </w:rPr>
        <w:t xml:space="preserve">t in the agreements since then. The main motivation of the timing indication is that NAS procedures can be delayed. Since whether NAS will delay its procedures or not would be decided and specified by CT1, we think that RAN2 needs to send an LS to CT1 to notify them of our agreement and reply if they have any concerns. </w:t>
      </w:r>
    </w:p>
    <w:p w14:paraId="4582CF62" w14:textId="57C90721" w:rsidR="002C78AF" w:rsidRDefault="002C78AF" w:rsidP="00EA50D3">
      <w:pPr>
        <w:spacing w:after="120"/>
        <w:rPr>
          <w:b/>
        </w:rPr>
      </w:pPr>
      <w:r>
        <w:rPr>
          <w:b/>
        </w:rPr>
        <w:t xml:space="preserve">Proposal </w:t>
      </w:r>
      <w:r w:rsidR="00DE4A70">
        <w:rPr>
          <w:b/>
        </w:rPr>
        <w:t>2</w:t>
      </w:r>
      <w:r>
        <w:rPr>
          <w:b/>
        </w:rPr>
        <w:t>: Send LS to CT1 regarding RAN2 decision on</w:t>
      </w:r>
      <w:r w:rsidR="00475C4C">
        <w:rPr>
          <w:b/>
        </w:rPr>
        <w:t xml:space="preserve"> introducing</w:t>
      </w:r>
      <w:r>
        <w:rPr>
          <w:b/>
        </w:rPr>
        <w:t xml:space="preserve"> timing information to delay NAS procedures.  </w:t>
      </w:r>
    </w:p>
    <w:p w14:paraId="780BDF13" w14:textId="34A77237" w:rsidR="00484EDB" w:rsidRDefault="002920B9" w:rsidP="00AF4DB9">
      <w:pPr>
        <w:pStyle w:val="PatentBody"/>
        <w:numPr>
          <w:ilvl w:val="0"/>
          <w:numId w:val="0"/>
        </w:numPr>
        <w:spacing w:after="180" w:line="240" w:lineRule="auto"/>
        <w:jc w:val="both"/>
        <w:rPr>
          <w:sz w:val="20"/>
        </w:rPr>
      </w:pPr>
      <w:r>
        <w:rPr>
          <w:sz w:val="20"/>
        </w:rPr>
        <w:t xml:space="preserve">It has also been discussed whether a network should signal the opposite direction, i.e that S&amp;F operation will start, but for this </w:t>
      </w:r>
      <w:r w:rsidR="001F6066">
        <w:rPr>
          <w:sz w:val="20"/>
        </w:rPr>
        <w:t xml:space="preserve">case the use of the indication is not clear. Since NAS normally does not delay any operation, then such an indication would for instance not be able to “speed up” any NAS operation to conclude before S&amp;F operation begins. Therefore we do not see a use for the indication. </w:t>
      </w:r>
    </w:p>
    <w:p w14:paraId="60755480" w14:textId="1129E91D" w:rsidR="001F6066" w:rsidRDefault="001F6066" w:rsidP="001F6066">
      <w:pPr>
        <w:spacing w:after="60"/>
        <w:rPr>
          <w:b/>
        </w:rPr>
      </w:pPr>
      <w:r>
        <w:rPr>
          <w:b/>
        </w:rPr>
        <w:t xml:space="preserve">Proposal 3: RAN2 does not introduce an indication for when the S&amp;F operation will start.  </w:t>
      </w:r>
    </w:p>
    <w:p w14:paraId="2550CE7B" w14:textId="73AFEA19" w:rsidR="00DE4A70" w:rsidRDefault="00DE4A70" w:rsidP="00AF4DB9">
      <w:pPr>
        <w:pStyle w:val="PatentBody"/>
        <w:numPr>
          <w:ilvl w:val="0"/>
          <w:numId w:val="0"/>
        </w:numPr>
        <w:spacing w:after="180" w:line="240" w:lineRule="auto"/>
        <w:jc w:val="both"/>
        <w:rPr>
          <w:sz w:val="20"/>
        </w:rPr>
      </w:pPr>
    </w:p>
    <w:p w14:paraId="10FBF393" w14:textId="16FD7FB3" w:rsidR="00484EDB" w:rsidRDefault="00324864" w:rsidP="00484EDB">
      <w:pPr>
        <w:pStyle w:val="Heading2"/>
      </w:pPr>
      <w:r>
        <w:t>Uplink buffer</w:t>
      </w:r>
      <w:r w:rsidR="00706096">
        <w:t xml:space="preserve"> full</w:t>
      </w:r>
      <w:r>
        <w:t xml:space="preserve"> indication</w:t>
      </w:r>
    </w:p>
    <w:p w14:paraId="17CE08C8" w14:textId="784F91F4" w:rsidR="001E3AC4" w:rsidRDefault="00930775" w:rsidP="00AF4DB9">
      <w:pPr>
        <w:pStyle w:val="PatentBody"/>
        <w:numPr>
          <w:ilvl w:val="0"/>
          <w:numId w:val="0"/>
        </w:numPr>
        <w:spacing w:after="180" w:line="240" w:lineRule="auto"/>
        <w:jc w:val="both"/>
        <w:rPr>
          <w:sz w:val="20"/>
        </w:rPr>
      </w:pPr>
      <w:r>
        <w:rPr>
          <w:sz w:val="20"/>
        </w:rPr>
        <w:t>In addition to the barring operatio</w:t>
      </w:r>
      <w:r w:rsidR="004317FB">
        <w:rPr>
          <w:sz w:val="20"/>
        </w:rPr>
        <w:t>n, there has been discussions on</w:t>
      </w:r>
      <w:r>
        <w:rPr>
          <w:sz w:val="20"/>
        </w:rPr>
        <w:t xml:space="preserve"> a scenario where for instance uplink storage </w:t>
      </w:r>
      <w:r w:rsidR="001E1C5D">
        <w:rPr>
          <w:sz w:val="20"/>
        </w:rPr>
        <w:t>of a satellite becomes</w:t>
      </w:r>
      <w:r>
        <w:rPr>
          <w:sz w:val="20"/>
        </w:rPr>
        <w:t xml:space="preserve"> full, but the S&amp;F cell </w:t>
      </w:r>
      <w:r w:rsidR="001E1C5D">
        <w:rPr>
          <w:sz w:val="20"/>
        </w:rPr>
        <w:t>may still have</w:t>
      </w:r>
      <w:r>
        <w:rPr>
          <w:sz w:val="20"/>
        </w:rPr>
        <w:t xml:space="preserve"> downlink data to deliver to UEs. </w:t>
      </w:r>
      <w:r w:rsidR="00742A03">
        <w:rPr>
          <w:sz w:val="20"/>
        </w:rPr>
        <w:t xml:space="preserve">Thus some companies state that they may want to limit access for UEs with uplink data, but not for other UEs. </w:t>
      </w:r>
      <w:r w:rsidR="00427B92">
        <w:rPr>
          <w:sz w:val="20"/>
        </w:rPr>
        <w:t xml:space="preserve">However, this can already be achieved via network implementation. For instance, a network may reject the RRC connection setup for UEs with specific establishment causes, such as </w:t>
      </w:r>
      <w:r w:rsidR="00427B92" w:rsidRPr="00427B92">
        <w:rPr>
          <w:i/>
          <w:sz w:val="20"/>
        </w:rPr>
        <w:t>mo-Signalling</w:t>
      </w:r>
      <w:r w:rsidR="00427B92">
        <w:rPr>
          <w:sz w:val="20"/>
        </w:rPr>
        <w:t xml:space="preserve"> or </w:t>
      </w:r>
      <w:r w:rsidR="00427B92" w:rsidRPr="00427B92">
        <w:rPr>
          <w:i/>
          <w:sz w:val="20"/>
        </w:rPr>
        <w:t>mo-Data</w:t>
      </w:r>
      <w:r w:rsidR="001E3AC4">
        <w:rPr>
          <w:sz w:val="20"/>
        </w:rPr>
        <w:t xml:space="preserve"> when the uplink buffer</w:t>
      </w:r>
      <w:r w:rsidR="001E1C5D">
        <w:rPr>
          <w:sz w:val="20"/>
        </w:rPr>
        <w:t xml:space="preserve"> of an eNB</w:t>
      </w:r>
      <w:r w:rsidR="001E3AC4">
        <w:rPr>
          <w:sz w:val="20"/>
        </w:rPr>
        <w:t xml:space="preserve"> is full in S&amp;F mode</w:t>
      </w:r>
      <w:r w:rsidR="00324864">
        <w:rPr>
          <w:sz w:val="20"/>
        </w:rPr>
        <w:t>. Similarly, the network may allow establishment c</w:t>
      </w:r>
      <w:r w:rsidR="00706096">
        <w:rPr>
          <w:sz w:val="20"/>
        </w:rPr>
        <w:t xml:space="preserve">auses such as </w:t>
      </w:r>
      <w:r w:rsidR="00706096" w:rsidRPr="00706096">
        <w:rPr>
          <w:i/>
          <w:sz w:val="20"/>
        </w:rPr>
        <w:t>mt-Access</w:t>
      </w:r>
      <w:r w:rsidR="00706096">
        <w:rPr>
          <w:sz w:val="20"/>
        </w:rPr>
        <w:t xml:space="preserve"> </w:t>
      </w:r>
      <w:r w:rsidR="00324864">
        <w:rPr>
          <w:sz w:val="20"/>
        </w:rPr>
        <w:t xml:space="preserve">even if the uplink buffer is full. </w:t>
      </w:r>
    </w:p>
    <w:p w14:paraId="536D2AF7" w14:textId="172F670F" w:rsidR="00484EDB" w:rsidRPr="00AC54A2" w:rsidRDefault="001E3AC4" w:rsidP="00AC54A2">
      <w:pPr>
        <w:rPr>
          <w:lang w:val="en-GB" w:eastAsia="en-US"/>
        </w:rPr>
      </w:pPr>
      <w:r>
        <w:rPr>
          <w:b/>
        </w:rPr>
        <w:t xml:space="preserve">Observation 1: In case of full uplink </w:t>
      </w:r>
      <w:r w:rsidR="00BF41D6">
        <w:rPr>
          <w:b/>
        </w:rPr>
        <w:t>buffer for S&amp;F cell, the eNB</w:t>
      </w:r>
      <w:r>
        <w:rPr>
          <w:b/>
        </w:rPr>
        <w:t xml:space="preserve"> can reject all</w:t>
      </w:r>
      <w:r w:rsidR="001D4D5F">
        <w:rPr>
          <w:b/>
        </w:rPr>
        <w:t xml:space="preserve"> connection attempts with</w:t>
      </w:r>
      <w:r>
        <w:rPr>
          <w:b/>
        </w:rPr>
        <w:t xml:space="preserve"> establishment causes which indicates MO-data</w:t>
      </w:r>
      <w:r w:rsidR="00967391">
        <w:rPr>
          <w:b/>
        </w:rPr>
        <w:t xml:space="preserve"> by network implementation</w:t>
      </w:r>
      <w:r>
        <w:rPr>
          <w:b/>
        </w:rPr>
        <w:t xml:space="preserve">.  </w:t>
      </w:r>
    </w:p>
    <w:p w14:paraId="0ACBBC66" w14:textId="777F4547" w:rsidR="00972FCB" w:rsidRPr="00E66865" w:rsidRDefault="00706096" w:rsidP="00E66865">
      <w:pPr>
        <w:spacing w:after="60"/>
        <w:rPr>
          <w:b/>
        </w:rPr>
      </w:pPr>
      <w:r>
        <w:rPr>
          <w:b/>
        </w:rPr>
        <w:t xml:space="preserve">Proposal </w:t>
      </w:r>
      <w:r w:rsidR="00C14708">
        <w:rPr>
          <w:b/>
        </w:rPr>
        <w:t>4</w:t>
      </w:r>
      <w:r w:rsidR="00AC54A2">
        <w:rPr>
          <w:b/>
        </w:rPr>
        <w:t xml:space="preserve">: </w:t>
      </w:r>
      <w:r w:rsidR="006971F8">
        <w:rPr>
          <w:b/>
        </w:rPr>
        <w:t>Network implementation can take care of</w:t>
      </w:r>
      <w:r w:rsidR="00AC54A2">
        <w:rPr>
          <w:b/>
        </w:rPr>
        <w:t xml:space="preserve"> the case where the uplink buffer is full in S&amp;F scenario.  </w:t>
      </w:r>
    </w:p>
    <w:p w14:paraId="557484AE" w14:textId="3D45F3D5" w:rsidR="00972FCB" w:rsidRDefault="00972FCB" w:rsidP="00972FCB">
      <w:pPr>
        <w:pStyle w:val="Heading2"/>
      </w:pPr>
      <w:r>
        <w:t>New release cause</w:t>
      </w:r>
    </w:p>
    <w:p w14:paraId="58357BE6" w14:textId="3D373934" w:rsidR="00972FCB" w:rsidRDefault="00972FCB" w:rsidP="00AF4DB9">
      <w:pPr>
        <w:pStyle w:val="PatentBody"/>
        <w:numPr>
          <w:ilvl w:val="0"/>
          <w:numId w:val="0"/>
        </w:numPr>
        <w:spacing w:after="180" w:line="240" w:lineRule="auto"/>
        <w:jc w:val="both"/>
        <w:rPr>
          <w:sz w:val="20"/>
        </w:rPr>
      </w:pPr>
      <w:r>
        <w:rPr>
          <w:sz w:val="20"/>
        </w:rPr>
        <w:t>In the last meeting there were discussions regarding a new release cause. The supposed use of this release cause is to release a UE because the feeder link becomes unavailable. It is not exactly clear what the UE behaviour should be when receiving such an indication. Such a release cause would only be supported by a Release 19 S&amp;F-capable UE</w:t>
      </w:r>
      <w:r w:rsidR="00447D53">
        <w:rPr>
          <w:sz w:val="20"/>
        </w:rPr>
        <w:t>, and in this case the UE should be capable of operating in a</w:t>
      </w:r>
      <w:r w:rsidR="00DE7282">
        <w:rPr>
          <w:sz w:val="20"/>
        </w:rPr>
        <w:t>n</w:t>
      </w:r>
      <w:r w:rsidR="00447D53">
        <w:rPr>
          <w:sz w:val="20"/>
        </w:rPr>
        <w:t xml:space="preserve"> S&amp;F </w:t>
      </w:r>
      <w:r w:rsidR="00DE7282">
        <w:rPr>
          <w:sz w:val="20"/>
        </w:rPr>
        <w:t>network. So it is not clear why the UE needs to be released and why a specific indication is needed for it. Therefore we do not see th</w:t>
      </w:r>
      <w:r w:rsidR="001E1C5D">
        <w:rPr>
          <w:sz w:val="20"/>
        </w:rPr>
        <w:t xml:space="preserve">e need for a new release cause, unless SA2/RAN3 indicates the need. </w:t>
      </w:r>
    </w:p>
    <w:p w14:paraId="392B610C" w14:textId="3963662D" w:rsidR="00025B8A" w:rsidRPr="00E66865" w:rsidRDefault="00DE7282" w:rsidP="00E66865">
      <w:pPr>
        <w:spacing w:after="60"/>
        <w:rPr>
          <w:b/>
        </w:rPr>
      </w:pPr>
      <w:r>
        <w:rPr>
          <w:b/>
        </w:rPr>
        <w:t xml:space="preserve">Proposal </w:t>
      </w:r>
      <w:r w:rsidR="00EA50D3">
        <w:rPr>
          <w:b/>
        </w:rPr>
        <w:t>5</w:t>
      </w:r>
      <w:r>
        <w:rPr>
          <w:b/>
        </w:rPr>
        <w:t xml:space="preserve">: RAN2 does not introduced a new release cause </w:t>
      </w:r>
      <w:r w:rsidR="004317FB">
        <w:rPr>
          <w:b/>
        </w:rPr>
        <w:t>when the network wants to release a Release 19 UE to RRC idle because the feeder link becomes unavailable</w:t>
      </w:r>
      <w:r w:rsidR="001E1C5D">
        <w:rPr>
          <w:b/>
        </w:rPr>
        <w:t xml:space="preserve">, unless SA2/RAN3 indicates the need. </w:t>
      </w:r>
    </w:p>
    <w:p w14:paraId="5FF2457F" w14:textId="72E1A9E3" w:rsidR="00A209D6" w:rsidRPr="006E13D1" w:rsidRDefault="008C3057" w:rsidP="003F11FC">
      <w:pPr>
        <w:pStyle w:val="Heading1"/>
        <w:jc w:val="both"/>
      </w:pPr>
      <w:r>
        <w:t>Conclusion</w:t>
      </w:r>
    </w:p>
    <w:p w14:paraId="6B206649" w14:textId="698726C6"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issues related to S&amp;F network:</w:t>
      </w:r>
    </w:p>
    <w:p w14:paraId="79DF80E9" w14:textId="77777777" w:rsidR="00D210A9" w:rsidRPr="00AC54A2" w:rsidRDefault="00D210A9" w:rsidP="00D210A9">
      <w:pPr>
        <w:rPr>
          <w:lang w:val="en-GB" w:eastAsia="en-US"/>
        </w:rPr>
      </w:pPr>
      <w:r>
        <w:rPr>
          <w:b/>
        </w:rPr>
        <w:t xml:space="preserve">Observation 1: In case of full uplink buffer for S&amp;F cell, the eNB can reject all connection attempts with establishment causes which indicates MO-data by network implementation.  </w:t>
      </w:r>
    </w:p>
    <w:p w14:paraId="375B57A4" w14:textId="77777777" w:rsidR="00045C87" w:rsidRDefault="00045C87" w:rsidP="00045C87">
      <w:pPr>
        <w:spacing w:after="120"/>
        <w:rPr>
          <w:b/>
        </w:rPr>
      </w:pPr>
      <w:r>
        <w:rPr>
          <w:b/>
        </w:rPr>
        <w:t xml:space="preserve">Proposal 1: In accordance with SA2 23.401, clause 4.13.9, the monitoring list is used in AS for UE to perform discontinuous coverage operation on the satellites indicated in the monitoring list.  </w:t>
      </w:r>
    </w:p>
    <w:p w14:paraId="55263EEC" w14:textId="77777777" w:rsidR="00045C87" w:rsidRDefault="00045C87" w:rsidP="00045C87">
      <w:pPr>
        <w:spacing w:after="120"/>
        <w:rPr>
          <w:b/>
        </w:rPr>
      </w:pPr>
      <w:r>
        <w:rPr>
          <w:b/>
        </w:rPr>
        <w:t xml:space="preserve">Proposal 2: Send LS to CT1 regarding RAN2 decision on introducing timing information to delay NAS procedures.  </w:t>
      </w:r>
    </w:p>
    <w:p w14:paraId="7C80C35D" w14:textId="77777777" w:rsidR="00045C87" w:rsidRDefault="00045C87" w:rsidP="00045C87">
      <w:pPr>
        <w:spacing w:after="60"/>
        <w:rPr>
          <w:b/>
        </w:rPr>
      </w:pPr>
      <w:r>
        <w:rPr>
          <w:b/>
        </w:rPr>
        <w:t xml:space="preserve">Proposal 3: RAN2 does not introduce an indication for when the S&amp;F operation will start.  </w:t>
      </w:r>
    </w:p>
    <w:p w14:paraId="41E1A585" w14:textId="77777777" w:rsidR="00045C87" w:rsidRDefault="00045C87" w:rsidP="00045C87">
      <w:pPr>
        <w:spacing w:after="60"/>
        <w:rPr>
          <w:b/>
        </w:rPr>
      </w:pPr>
      <w:r>
        <w:rPr>
          <w:b/>
        </w:rPr>
        <w:t xml:space="preserve">Proposal 4: Network implementation can take care of the case where the uplink buffer is full in S&amp;F scenario.  </w:t>
      </w:r>
    </w:p>
    <w:p w14:paraId="3E2016CB" w14:textId="77777777" w:rsidR="00045C87" w:rsidRDefault="00045C87" w:rsidP="00045C87">
      <w:pPr>
        <w:spacing w:after="60"/>
        <w:rPr>
          <w:b/>
        </w:rPr>
      </w:pPr>
      <w:r>
        <w:rPr>
          <w:b/>
        </w:rPr>
        <w:t xml:space="preserve">Proposal 5: RAN2 does not introduced a new release cause when the network wants to release a Release 19 UE to RRC idle because the feeder link becomes unavailable, unless SA2/RAN3 indicates the need. </w:t>
      </w:r>
    </w:p>
    <w:p w14:paraId="7B2848EE" w14:textId="741D325F" w:rsidR="00EA50D3" w:rsidRDefault="00EA50D3"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34A64B7E" w14:textId="6AAAE94D" w:rsidR="00045C87" w:rsidRPr="00045C87" w:rsidRDefault="00045C87" w:rsidP="00045C87">
      <w:pPr>
        <w:pStyle w:val="references"/>
        <w:spacing w:after="180" w:line="240" w:lineRule="auto"/>
        <w:rPr>
          <w:szCs w:val="20"/>
        </w:rPr>
      </w:pPr>
      <w:r>
        <w:rPr>
          <w:rFonts w:ascii="Arial" w:hAnsi="Arial" w:cs="Arial"/>
          <w:szCs w:val="20"/>
        </w:rPr>
        <w:t>RP-250472, Revised WID on Non-Terrestrial Networks (NTN) for Internet of Things (IoT) Phase 3, Mediatek, RAN#107, Incheon, ROK, March 2025.</w:t>
      </w:r>
    </w:p>
    <w:p w14:paraId="39C52895" w14:textId="0622E027" w:rsidR="00045C87" w:rsidRPr="004C2E69" w:rsidRDefault="00045C87" w:rsidP="00045C87">
      <w:pPr>
        <w:pStyle w:val="references"/>
        <w:spacing w:after="180" w:line="240" w:lineRule="auto"/>
        <w:rPr>
          <w:szCs w:val="20"/>
        </w:rPr>
      </w:pPr>
      <w:r>
        <w:rPr>
          <w:rFonts w:ascii="Arial" w:hAnsi="Arial" w:cs="Arial"/>
          <w:szCs w:val="20"/>
        </w:rPr>
        <w:t xml:space="preserve">R2-2411197, LS on Satellite IDs for store-and-forward operation, RAN2, RAN2#128, Orlando, USA, November 2024. </w:t>
      </w:r>
    </w:p>
    <w:p w14:paraId="7DE0901A" w14:textId="5F8359CE" w:rsidR="009607A6" w:rsidRPr="00E66865" w:rsidRDefault="00045C87" w:rsidP="001767C8">
      <w:pPr>
        <w:pStyle w:val="references"/>
        <w:spacing w:after="180" w:line="240" w:lineRule="auto"/>
        <w:rPr>
          <w:szCs w:val="20"/>
        </w:rPr>
      </w:pPr>
      <w:r>
        <w:rPr>
          <w:rFonts w:ascii="Arial" w:hAnsi="Arial" w:cs="Arial"/>
          <w:szCs w:val="20"/>
        </w:rPr>
        <w:t xml:space="preserve">R2-2501753, Reply LS on Satellite IDs for store-and-forward operation, </w:t>
      </w:r>
      <w:r w:rsidR="00CA53D6">
        <w:rPr>
          <w:rFonts w:ascii="Arial" w:hAnsi="Arial" w:cs="Arial"/>
          <w:szCs w:val="20"/>
        </w:rPr>
        <w:t xml:space="preserve">SA2, RAN2#129bis, Wuhan, China, April 2025. </w:t>
      </w:r>
    </w:p>
    <w:sectPr w:rsidR="009607A6" w:rsidRPr="00E668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12"/>
  </w:num>
  <w:num w:numId="6">
    <w:abstractNumId w:val="10"/>
  </w:num>
  <w:num w:numId="7">
    <w:abstractNumId w:val="2"/>
  </w:num>
  <w:num w:numId="8">
    <w:abstractNumId w:val="13"/>
  </w:num>
  <w:num w:numId="9">
    <w:abstractNumId w:val="7"/>
  </w:num>
  <w:num w:numId="10">
    <w:abstractNumId w:val="4"/>
  </w:num>
  <w:num w:numId="11">
    <w:abstractNumId w:val="3"/>
  </w:num>
  <w:num w:numId="12">
    <w:abstractNumId w:val="11"/>
  </w:num>
  <w:num w:numId="13">
    <w:abstractNumId w:val="1"/>
  </w:num>
  <w:num w:numId="14">
    <w:abstractNumId w:val="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57404"/>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8728F"/>
    <w:rsid w:val="00190972"/>
    <w:rsid w:val="00191EFD"/>
    <w:rsid w:val="001920E7"/>
    <w:rsid w:val="001921CE"/>
    <w:rsid w:val="00194515"/>
    <w:rsid w:val="00194CD0"/>
    <w:rsid w:val="0019500E"/>
    <w:rsid w:val="00195FB0"/>
    <w:rsid w:val="001962AF"/>
    <w:rsid w:val="00196550"/>
    <w:rsid w:val="00197FF3"/>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7CE"/>
    <w:rsid w:val="001D4D5F"/>
    <w:rsid w:val="001D6647"/>
    <w:rsid w:val="001E1C5D"/>
    <w:rsid w:val="001E2E76"/>
    <w:rsid w:val="001E2FCC"/>
    <w:rsid w:val="001E3AC4"/>
    <w:rsid w:val="001E44A9"/>
    <w:rsid w:val="001F168B"/>
    <w:rsid w:val="001F4157"/>
    <w:rsid w:val="001F6066"/>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61F2"/>
    <w:rsid w:val="003172DC"/>
    <w:rsid w:val="0032086B"/>
    <w:rsid w:val="003211D6"/>
    <w:rsid w:val="003217AC"/>
    <w:rsid w:val="00323D2C"/>
    <w:rsid w:val="003243BA"/>
    <w:rsid w:val="00324864"/>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B92"/>
    <w:rsid w:val="00427D3B"/>
    <w:rsid w:val="00431669"/>
    <w:rsid w:val="004317FB"/>
    <w:rsid w:val="004319FD"/>
    <w:rsid w:val="0043208C"/>
    <w:rsid w:val="004322B3"/>
    <w:rsid w:val="00432BC9"/>
    <w:rsid w:val="00432BE2"/>
    <w:rsid w:val="00432F4A"/>
    <w:rsid w:val="00434571"/>
    <w:rsid w:val="00437CA2"/>
    <w:rsid w:val="00441FD9"/>
    <w:rsid w:val="00442328"/>
    <w:rsid w:val="004433CF"/>
    <w:rsid w:val="0044406B"/>
    <w:rsid w:val="00446984"/>
    <w:rsid w:val="0044738E"/>
    <w:rsid w:val="00447D53"/>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7FD"/>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86CA5"/>
    <w:rsid w:val="00690ED2"/>
    <w:rsid w:val="00694E95"/>
    <w:rsid w:val="00694F59"/>
    <w:rsid w:val="00695261"/>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32D6"/>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C9"/>
    <w:rsid w:val="008B74AF"/>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5C9"/>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1492"/>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0D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D3082"/>
    <w:rsid w:val="00AD6A7F"/>
    <w:rsid w:val="00AE39F9"/>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411E"/>
    <w:rsid w:val="00BD5D0A"/>
    <w:rsid w:val="00BD5D7E"/>
    <w:rsid w:val="00BD5F2B"/>
    <w:rsid w:val="00BD6861"/>
    <w:rsid w:val="00BD6DC4"/>
    <w:rsid w:val="00BE034C"/>
    <w:rsid w:val="00BE07D3"/>
    <w:rsid w:val="00BE0A0C"/>
    <w:rsid w:val="00BE0C2F"/>
    <w:rsid w:val="00BE2A19"/>
    <w:rsid w:val="00BE7451"/>
    <w:rsid w:val="00BF0764"/>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4D50"/>
    <w:rsid w:val="00D15F30"/>
    <w:rsid w:val="00D1769D"/>
    <w:rsid w:val="00D210A9"/>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6588"/>
    <w:rsid w:val="00D76809"/>
    <w:rsid w:val="00D7685B"/>
    <w:rsid w:val="00D80795"/>
    <w:rsid w:val="00D81114"/>
    <w:rsid w:val="00D843A6"/>
    <w:rsid w:val="00D854BE"/>
    <w:rsid w:val="00D87009"/>
    <w:rsid w:val="00D87E00"/>
    <w:rsid w:val="00D90C26"/>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012"/>
    <w:rsid w:val="00DC5261"/>
    <w:rsid w:val="00DC6A61"/>
    <w:rsid w:val="00DC74B1"/>
    <w:rsid w:val="00DC75FA"/>
    <w:rsid w:val="00DD16AF"/>
    <w:rsid w:val="00DD3480"/>
    <w:rsid w:val="00DD4AC3"/>
    <w:rsid w:val="00DD5188"/>
    <w:rsid w:val="00DD64BE"/>
    <w:rsid w:val="00DD6910"/>
    <w:rsid w:val="00DD7951"/>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865"/>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61B"/>
    <w:rsid w:val="00E94C66"/>
    <w:rsid w:val="00E94D04"/>
    <w:rsid w:val="00E94D9A"/>
    <w:rsid w:val="00E9509D"/>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9F47A-1BBE-4F9C-9A55-B46635D31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2049</Words>
  <Characters>10152</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2025-03-28T08:44:00Z</dcterms:created>
  <dcterms:modified xsi:type="dcterms:W3CDTF">2025-03-28T08:44:00Z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